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firstLine="540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</w:rPr>
        <w:t>T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  <w:lang w:val="pt-PT"/>
        </w:rPr>
        <w:t xml:space="preserve">tulo do artigo </w:t>
      </w:r>
      <w:r>
        <w:rPr>
          <w:color w:val="a6a6a6"/>
          <w:sz w:val="28"/>
          <w:szCs w:val="28"/>
          <w:u w:color="a6a6a6"/>
          <w:rtl w:val="0"/>
          <w:lang w:val="pt-PT"/>
        </w:rPr>
        <w:t>[Times 14, negrito]</w:t>
      </w:r>
    </w:p>
    <w:p>
      <w:pPr>
        <w:pStyle w:val="Body"/>
        <w:spacing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Body"/>
        <w:spacing w:line="240" w:lineRule="auto"/>
        <w:jc w:val="left"/>
        <w:rPr>
          <w:b w:val="1"/>
          <w:bCs w:val="1"/>
          <w:i w:val="1"/>
          <w:iCs w:val="1"/>
        </w:rPr>
      </w:pPr>
    </w:p>
    <w:p>
      <w:pPr>
        <w:pStyle w:val="Body"/>
        <w:ind w:firstLine="540"/>
      </w:pPr>
      <w:r>
        <w:rPr>
          <w:rtl w:val="0"/>
          <w:lang w:val="pt-PT"/>
        </w:rPr>
        <w:t xml:space="preserve">O objetivo deste arquivo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exemplificar uma sinopse preliminar a submeter ao Encontro de Investiga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em Arte e Design </w:t>
      </w:r>
      <w:r>
        <w:rPr>
          <w:rtl w:val="0"/>
        </w:rPr>
        <w:t xml:space="preserve">– </w:t>
      </w:r>
      <w:r>
        <w:rPr>
          <w:rtl w:val="0"/>
          <w:lang w:val="pt-PT"/>
        </w:rPr>
        <w:t>EnIAD. Esta sinopse reflete um documento em progresso e deve deixar claro: o tema, o objetivo, alguma documenta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suporte apresentada (duas figuras) e conclus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 xml:space="preserve">es. </w:t>
      </w:r>
    </w:p>
    <w:p>
      <w:pPr>
        <w:pStyle w:val="Body"/>
        <w:ind w:firstLine="540"/>
      </w:pPr>
      <w:r>
        <w:rPr>
          <w:rtl w:val="0"/>
          <w:lang w:val="pt-PT"/>
        </w:rPr>
        <w:t>A inclus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 imagens deve seguir o que se exemplifica nesta p</w:t>
      </w:r>
      <w:r>
        <w:rPr>
          <w:rtl w:val="0"/>
        </w:rPr>
        <w:t>á</w:t>
      </w:r>
      <w:r>
        <w:rPr>
          <w:rtl w:val="0"/>
          <w:lang w:val="pt-PT"/>
        </w:rPr>
        <w:t>gina (Figura 1 e Figura 2). Todas as Figuras t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 xml:space="preserve">m de ter a respetiva </w:t>
      </w:r>
      <w:r>
        <w:rPr>
          <w:rtl w:val="0"/>
        </w:rPr>
        <w:t>â</w:t>
      </w:r>
      <w:r>
        <w:rPr>
          <w:rtl w:val="0"/>
          <w:lang w:val="pt-PT"/>
        </w:rPr>
        <w:t>ncora no correr do texto, como sucede no final da frase anterior. A extens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deste resumo ser</w:t>
      </w:r>
      <w:r>
        <w:rPr>
          <w:rtl w:val="0"/>
        </w:rPr>
        <w:t xml:space="preserve">á </w:t>
      </w:r>
      <w:r>
        <w:rPr>
          <w:rtl w:val="0"/>
          <w:lang w:val="pt-PT"/>
        </w:rPr>
        <w:t>de 2500 caracteres com espa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os, cerca de uma p</w:t>
      </w:r>
      <w:r>
        <w:rPr>
          <w:rtl w:val="0"/>
        </w:rPr>
        <w:t>á</w:t>
      </w:r>
      <w:r>
        <w:rPr>
          <w:rtl w:val="0"/>
          <w:lang w:val="pt-PT"/>
        </w:rPr>
        <w:t xml:space="preserve">gina de texto. </w:t>
      </w:r>
      <w:r>
        <w:rPr>
          <w:color w:val="a6a6a6"/>
          <w:u w:color="a6a6a6"/>
          <w:rtl w:val="0"/>
          <w:lang w:val="pt-PT"/>
        </w:rPr>
        <w:t>[Times 12]</w:t>
      </w:r>
      <w:r>
        <w:rPr>
          <w:rtl w:val="0"/>
        </w:rPr>
        <w:t xml:space="preserve">  </w:t>
      </w:r>
    </w:p>
    <w:p>
      <w:pPr>
        <w:pStyle w:val="Body"/>
        <w:ind w:firstLine="540"/>
        <w:jc w:val="center"/>
      </w:pPr>
    </w:p>
    <w:p>
      <w:pPr>
        <w:pStyle w:val="Body"/>
        <w:ind w:firstLine="540"/>
        <w:jc w:val="center"/>
      </w:pPr>
    </w:p>
    <w:p>
      <w:pPr>
        <w:pStyle w:val="Body"/>
        <w:jc w:val="center"/>
      </w:pPr>
      <w:r>
        <w:drawing>
          <wp:inline distT="0" distB="0" distL="0" distR="0">
            <wp:extent cx="2741303" cy="172469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303" cy="17246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ind w:firstLine="540"/>
        <w:jc w:val="center"/>
        <w:rPr>
          <w:color w:val="a6a6a6"/>
          <w:sz w:val="20"/>
          <w:szCs w:val="20"/>
          <w:u w:color="a6a6a6"/>
        </w:rPr>
      </w:pPr>
      <w:r>
        <w:rPr>
          <w:b w:val="1"/>
          <w:bCs w:val="1"/>
          <w:sz w:val="20"/>
          <w:szCs w:val="20"/>
          <w:rtl w:val="0"/>
          <w:lang w:val="pt-PT"/>
        </w:rPr>
        <w:t xml:space="preserve">Figura 1. </w:t>
      </w:r>
      <w:r>
        <w:rPr>
          <w:color w:val="a6a6a6"/>
          <w:sz w:val="20"/>
          <w:szCs w:val="20"/>
          <w:u w:color="a6a6a6"/>
          <w:rtl w:val="0"/>
        </w:rPr>
        <w:t>[</w:t>
      </w:r>
      <w:r>
        <w:rPr>
          <w:b w:val="1"/>
          <w:bCs w:val="1"/>
          <w:color w:val="a6a6a6"/>
          <w:sz w:val="20"/>
          <w:szCs w:val="20"/>
          <w:u w:color="a6a6a6"/>
          <w:rtl w:val="0"/>
          <w:lang w:val="fr-FR"/>
        </w:rPr>
        <w:t>Times 10, Negrito</w:t>
      </w:r>
      <w:r>
        <w:rPr>
          <w:color w:val="a6a6a6"/>
          <w:sz w:val="20"/>
          <w:szCs w:val="20"/>
          <w:u w:color="a6a6a6"/>
          <w:rtl w:val="0"/>
        </w:rPr>
        <w:t>]</w:t>
      </w:r>
      <w:r>
        <w:rPr>
          <w:b w:val="1"/>
          <w:bCs w:val="1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pt-PT"/>
        </w:rPr>
        <w:t>tulo da imagem. Indica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 xml:space="preserve">o da fonte original da imagem. </w:t>
      </w:r>
      <w:r>
        <w:rPr>
          <w:color w:val="a6a6a6"/>
          <w:sz w:val="20"/>
          <w:szCs w:val="20"/>
          <w:u w:color="a6a6a6"/>
          <w:rtl w:val="0"/>
        </w:rPr>
        <w:t>[Times 10]</w:t>
      </w:r>
    </w:p>
    <w:p>
      <w:pPr>
        <w:pStyle w:val="Body"/>
        <w:spacing w:line="240" w:lineRule="auto"/>
        <w:jc w:val="center"/>
        <w:rPr>
          <w:color w:val="a6a6a6"/>
          <w:sz w:val="20"/>
          <w:szCs w:val="20"/>
          <w:u w:color="a6a6a6"/>
        </w:rPr>
      </w:pPr>
    </w:p>
    <w:p>
      <w:pPr>
        <w:pStyle w:val="Body"/>
        <w:spacing w:line="240" w:lineRule="auto"/>
        <w:jc w:val="center"/>
        <w:rPr>
          <w:color w:val="a6a6a6"/>
          <w:sz w:val="20"/>
          <w:szCs w:val="20"/>
          <w:u w:color="a6a6a6"/>
        </w:rPr>
      </w:pPr>
    </w:p>
    <w:p>
      <w:pPr>
        <w:pStyle w:val="Body"/>
        <w:jc w:val="center"/>
        <w:rPr>
          <w:color w:val="a6a6a6"/>
          <w:kern w:val="32"/>
          <w:sz w:val="20"/>
          <w:szCs w:val="20"/>
          <w:u w:color="a6a6a6"/>
        </w:rPr>
      </w:pPr>
    </w:p>
    <w:p>
      <w:pPr>
        <w:pStyle w:val="Body"/>
        <w:jc w:val="center"/>
        <w:rPr>
          <w:kern w:val="32"/>
          <w:sz w:val="20"/>
          <w:szCs w:val="20"/>
        </w:rPr>
      </w:pPr>
      <w:r>
        <w:rPr>
          <w:kern w:val="32"/>
          <w:sz w:val="20"/>
          <w:szCs w:val="20"/>
        </w:rPr>
        <w:drawing>
          <wp:inline distT="0" distB="0" distL="0" distR="0">
            <wp:extent cx="3210823" cy="1951529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0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823" cy="19515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line="240" w:lineRule="auto"/>
        <w:jc w:val="center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pt-PT"/>
        </w:rPr>
        <w:t xml:space="preserve">Figura 2. 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pt-PT"/>
        </w:rPr>
        <w:t>tulo da imagem. Indica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da fonte original da imagem.</w:t>
      </w:r>
    </w:p>
    <w:p>
      <w:pPr>
        <w:pStyle w:val="Body"/>
        <w:ind w:firstLine="540"/>
      </w:pPr>
    </w:p>
    <w:p>
      <w:pPr>
        <w:pStyle w:val="Body"/>
        <w:ind w:firstLine="540"/>
      </w:pPr>
      <w:r>
        <w:rPr>
          <w:rtl w:val="0"/>
          <w:lang w:val="pt-PT"/>
        </w:rPr>
        <w:t>Observam-se como normas de cita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as do sistema </w:t>
      </w:r>
      <w:r>
        <w:rPr>
          <w:rtl w:val="0"/>
        </w:rPr>
        <w:t>‘</w:t>
      </w:r>
      <w:r>
        <w:rPr>
          <w:rtl w:val="0"/>
          <w:lang w:val="nl-NL"/>
        </w:rPr>
        <w:t>autor, data</w:t>
      </w:r>
      <w:r>
        <w:rPr>
          <w:rtl w:val="0"/>
        </w:rPr>
        <w:t xml:space="preserve">’ </w:t>
      </w:r>
      <w:r>
        <w:rPr>
          <w:rtl w:val="0"/>
          <w:lang w:val="en-US"/>
        </w:rPr>
        <w:t xml:space="preserve">ou </w:t>
      </w:r>
      <w:r>
        <w:rPr>
          <w:rtl w:val="0"/>
        </w:rPr>
        <w:t>‘</w:t>
      </w:r>
      <w:r>
        <w:rPr>
          <w:rtl w:val="0"/>
          <w:lang w:val="en-US"/>
        </w:rPr>
        <w:t>Harvard</w:t>
      </w:r>
      <w:r>
        <w:rPr>
          <w:rtl w:val="0"/>
        </w:rPr>
        <w:t>’</w:t>
      </w:r>
      <w:r>
        <w:rPr>
          <w:rtl w:val="0"/>
          <w:lang w:val="pt-PT"/>
        </w:rPr>
        <w:t>, sem o uso de notas de rodap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. A aprecia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ser</w:t>
      </w:r>
      <w:r>
        <w:rPr>
          <w:rtl w:val="0"/>
        </w:rPr>
        <w:t xml:space="preserve">á </w:t>
      </w:r>
      <w:r>
        <w:rPr>
          <w:rtl w:val="0"/>
          <w:lang w:val="pt-PT"/>
        </w:rPr>
        <w:t xml:space="preserve">efetuada segundo </w:t>
      </w:r>
      <w:r>
        <w:rPr>
          <w:rtl w:val="0"/>
        </w:rPr>
        <w:t>“</w:t>
      </w:r>
      <w:r>
        <w:rPr>
          <w:rtl w:val="0"/>
          <w:lang w:val="pt-PT"/>
        </w:rPr>
        <w:t>arbitragem cega</w:t>
      </w:r>
      <w:r>
        <w:rPr>
          <w:rtl w:val="0"/>
        </w:rPr>
        <w:t>”</w:t>
      </w:r>
      <w:r>
        <w:rPr>
          <w:rtl w:val="0"/>
          <w:lang w:val="it-IT"/>
        </w:rPr>
        <w:t>, logo a sinopse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deve conter qualquer men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ao nome do autor do artigo.</w:t>
      </w:r>
    </w:p>
    <w:p>
      <w:pPr>
        <w:pStyle w:val="Body"/>
        <w:ind w:firstLine="540"/>
      </w:pPr>
    </w:p>
    <w:p>
      <w:pPr>
        <w:pStyle w:val="Body"/>
        <w:ind w:right="382" w:firstLine="567"/>
        <w:rPr>
          <w:sz w:val="22"/>
          <w:szCs w:val="22"/>
        </w:rPr>
      </w:pPr>
      <w:r>
        <w:rPr>
          <w:sz w:val="22"/>
          <w:szCs w:val="22"/>
          <w:rtl w:val="0"/>
        </w:rPr>
        <w:t>Refer</w:t>
      </w:r>
      <w:r>
        <w:rPr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pt-PT"/>
        </w:rPr>
        <w:t xml:space="preserve">ncias: </w:t>
      </w:r>
      <w:r>
        <w:rPr>
          <w:color w:val="a6a6a6"/>
          <w:sz w:val="22"/>
          <w:szCs w:val="22"/>
          <w:u w:color="a6a6a6"/>
          <w:rtl w:val="0"/>
          <w:lang w:val="pt-PT"/>
        </w:rPr>
        <w:t>[Times 11]</w:t>
      </w:r>
    </w:p>
    <w:p>
      <w:pPr>
        <w:pStyle w:val="Body"/>
        <w:ind w:left="709" w:right="382" w:hanging="709"/>
        <w:rPr>
          <w:sz w:val="22"/>
          <w:szCs w:val="22"/>
          <w:shd w:val="clear" w:color="auto" w:fill="ffffff"/>
        </w:rPr>
      </w:pPr>
      <w:r>
        <w:rPr>
          <w:sz w:val="22"/>
          <w:szCs w:val="22"/>
          <w:rtl w:val="0"/>
          <w:lang w:val="it-IT"/>
        </w:rPr>
        <w:t>Bahia, Sara &amp; Trindade, Jos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pt-PT"/>
        </w:rPr>
        <w:t xml:space="preserve">Pedro (2013) </w:t>
      </w:r>
      <w:r>
        <w:rPr>
          <w:sz w:val="22"/>
          <w:szCs w:val="22"/>
          <w:rtl w:val="0"/>
        </w:rPr>
        <w:t>“</w:t>
      </w:r>
      <w:r>
        <w:rPr>
          <w:sz w:val="22"/>
          <w:szCs w:val="22"/>
          <w:rtl w:val="0"/>
          <w:lang w:val="pt-PT"/>
        </w:rPr>
        <w:t>Arte como desenvolvimento da literacia cr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it-IT"/>
        </w:rPr>
        <w:t>tica.</w:t>
      </w:r>
      <w:r>
        <w:rPr>
          <w:sz w:val="22"/>
          <w:szCs w:val="22"/>
          <w:rtl w:val="0"/>
        </w:rPr>
        <w:t xml:space="preserve">” </w:t>
      </w:r>
      <w:r>
        <w:rPr>
          <w:i w:val="1"/>
          <w:iCs w:val="1"/>
          <w:sz w:val="22"/>
          <w:szCs w:val="22"/>
          <w:rtl w:val="0"/>
          <w:lang w:val="pt-PT"/>
        </w:rPr>
        <w:t>Revista Mat</w:t>
      </w:r>
      <w:r>
        <w:rPr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</w:rPr>
        <w:t>ria-Prima.</w:t>
      </w:r>
      <w:r>
        <w:rPr>
          <w:sz w:val="22"/>
          <w:szCs w:val="22"/>
          <w:rtl w:val="0"/>
        </w:rPr>
        <w:t xml:space="preserve"> ISSN 2182-9756, e-ISSN 2182-9829.Vol. 1 (2): 171-8.</w:t>
      </w:r>
    </w:p>
    <w:p>
      <w:pPr>
        <w:pStyle w:val="Body"/>
        <w:widowControl w:val="0"/>
        <w:ind w:left="709" w:right="382" w:hanging="709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Eco, Umberto (2007) </w:t>
      </w:r>
      <w:r>
        <w:rPr>
          <w:i w:val="1"/>
          <w:iCs w:val="1"/>
          <w:sz w:val="22"/>
          <w:szCs w:val="22"/>
          <w:rtl w:val="0"/>
          <w:lang w:val="pt-PT"/>
        </w:rPr>
        <w:t>Como se Faz uma Tese em Ci</w:t>
      </w:r>
      <w:r>
        <w:rPr>
          <w:i w:val="1"/>
          <w:iCs w:val="1"/>
          <w:sz w:val="22"/>
          <w:szCs w:val="22"/>
          <w:rtl w:val="0"/>
          <w:lang w:val="fr-FR"/>
        </w:rPr>
        <w:t>ê</w:t>
      </w:r>
      <w:r>
        <w:rPr>
          <w:i w:val="1"/>
          <w:iCs w:val="1"/>
          <w:sz w:val="22"/>
          <w:szCs w:val="22"/>
          <w:rtl w:val="0"/>
          <w:lang w:val="pt-PT"/>
        </w:rPr>
        <w:t>ncias Humanas</w:t>
      </w:r>
      <w:r>
        <w:rPr>
          <w:sz w:val="22"/>
          <w:szCs w:val="22"/>
          <w:rtl w:val="0"/>
          <w:lang w:val="pt-PT"/>
        </w:rPr>
        <w:t>. Lisboa: Presen</w:t>
      </w:r>
      <w:r>
        <w:rPr>
          <w:sz w:val="22"/>
          <w:szCs w:val="22"/>
          <w:rtl w:val="0"/>
          <w:lang w:val="pt-PT"/>
        </w:rPr>
        <w:t>ç</w:t>
      </w:r>
      <w:r>
        <w:rPr>
          <w:sz w:val="22"/>
          <w:szCs w:val="22"/>
          <w:rtl w:val="0"/>
        </w:rPr>
        <w:t>a. ISBN: 978-972-23-1351-3</w:t>
      </w:r>
    </w:p>
    <w:p>
      <w:pPr>
        <w:pStyle w:val="Body"/>
        <w:ind w:left="709" w:right="382" w:hanging="709"/>
        <w:rPr>
          <w:sz w:val="22"/>
          <w:szCs w:val="22"/>
        </w:rPr>
      </w:pPr>
      <w:r>
        <w:rPr>
          <w:sz w:val="22"/>
          <w:szCs w:val="22"/>
          <w:shd w:val="clear" w:color="auto" w:fill="ffffff"/>
          <w:rtl w:val="0"/>
          <w:lang w:val="pt-PT"/>
        </w:rPr>
        <w:t>Queiroz, Jo</w:t>
      </w:r>
      <w:r>
        <w:rPr>
          <w:sz w:val="22"/>
          <w:szCs w:val="22"/>
          <w:shd w:val="clear" w:color="auto" w:fill="ffffff"/>
          <w:rtl w:val="0"/>
          <w:lang w:val="pt-PT"/>
        </w:rPr>
        <w:t>ã</w:t>
      </w:r>
      <w:r>
        <w:rPr>
          <w:sz w:val="22"/>
          <w:szCs w:val="22"/>
          <w:shd w:val="clear" w:color="auto" w:fill="ffffff"/>
          <w:rtl w:val="0"/>
          <w:lang w:val="pt-PT"/>
        </w:rPr>
        <w:t xml:space="preserve">o Paulo (Ed.) </w:t>
      </w:r>
      <w:r>
        <w:rPr>
          <w:i w:val="1"/>
          <w:iCs w:val="1"/>
          <w:sz w:val="22"/>
          <w:szCs w:val="22"/>
          <w:shd w:val="clear" w:color="auto" w:fill="ffffff"/>
          <w:rtl w:val="0"/>
          <w:lang w:val="pt-PT"/>
        </w:rPr>
        <w:t>A Partir da Mat</w:t>
      </w:r>
      <w:r>
        <w:rPr>
          <w:i w:val="1"/>
          <w:iCs w:val="1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i w:val="1"/>
          <w:iCs w:val="1"/>
          <w:sz w:val="22"/>
          <w:szCs w:val="22"/>
          <w:shd w:val="clear" w:color="auto" w:fill="ffffff"/>
          <w:rtl w:val="0"/>
          <w:lang w:val="pt-PT"/>
        </w:rPr>
        <w:t>ria-Prima: Atas do II Congresso Internacional Mat</w:t>
      </w:r>
      <w:r>
        <w:rPr>
          <w:i w:val="1"/>
          <w:iCs w:val="1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i w:val="1"/>
          <w:iCs w:val="1"/>
          <w:sz w:val="22"/>
          <w:szCs w:val="22"/>
          <w:shd w:val="clear" w:color="auto" w:fill="ffffff"/>
          <w:rtl w:val="0"/>
          <w:lang w:val="de-DE"/>
        </w:rPr>
        <w:t>ria Prima 2013 Pr</w:t>
      </w:r>
      <w:r>
        <w:rPr>
          <w:i w:val="1"/>
          <w:iCs w:val="1"/>
          <w:sz w:val="22"/>
          <w:szCs w:val="22"/>
          <w:shd w:val="clear" w:color="auto" w:fill="ffffff"/>
          <w:rtl w:val="0"/>
        </w:rPr>
        <w:t>á</w:t>
      </w:r>
      <w:r>
        <w:rPr>
          <w:i w:val="1"/>
          <w:iCs w:val="1"/>
          <w:sz w:val="22"/>
          <w:szCs w:val="22"/>
          <w:shd w:val="clear" w:color="auto" w:fill="ffffff"/>
          <w:rtl w:val="0"/>
          <w:lang w:val="pt-PT"/>
        </w:rPr>
        <w:t>ticas das Artes Visuais no Ensino B</w:t>
      </w:r>
      <w:r>
        <w:rPr>
          <w:i w:val="1"/>
          <w:iCs w:val="1"/>
          <w:sz w:val="22"/>
          <w:szCs w:val="22"/>
          <w:shd w:val="clear" w:color="auto" w:fill="ffffff"/>
          <w:rtl w:val="0"/>
        </w:rPr>
        <w:t>á</w:t>
      </w:r>
      <w:r>
        <w:rPr>
          <w:i w:val="1"/>
          <w:iCs w:val="1"/>
          <w:sz w:val="22"/>
          <w:szCs w:val="22"/>
          <w:shd w:val="clear" w:color="auto" w:fill="ffffff"/>
          <w:rtl w:val="0"/>
          <w:lang w:val="pt-PT"/>
        </w:rPr>
        <w:t>sico e Secund</w:t>
      </w:r>
      <w:r>
        <w:rPr>
          <w:i w:val="1"/>
          <w:iCs w:val="1"/>
          <w:sz w:val="22"/>
          <w:szCs w:val="22"/>
          <w:shd w:val="clear" w:color="auto" w:fill="ffffff"/>
          <w:rtl w:val="0"/>
        </w:rPr>
        <w:t>á</w:t>
      </w:r>
      <w:r>
        <w:rPr>
          <w:i w:val="1"/>
          <w:iCs w:val="1"/>
          <w:sz w:val="22"/>
          <w:szCs w:val="22"/>
          <w:shd w:val="clear" w:color="auto" w:fill="ffffff"/>
          <w:rtl w:val="0"/>
          <w:lang w:val="en-US"/>
        </w:rPr>
        <w:t>rio</w:t>
      </w:r>
      <w:r>
        <w:rPr>
          <w:sz w:val="22"/>
          <w:szCs w:val="22"/>
          <w:shd w:val="clear" w:color="auto" w:fill="ffffff"/>
          <w:rtl w:val="0"/>
          <w:lang w:val="pt-PT"/>
        </w:rPr>
        <w:t xml:space="preserve">. FBAUL 11 a 15 julho 2013. Lisboa: CIEBA / FBAUL. 821 pp. ISBN 978-989-8300-57-7 </w:t>
      </w:r>
      <w:r>
        <w:rPr>
          <w:sz w:val="22"/>
          <w:szCs w:val="22"/>
          <w:rtl w:val="0"/>
          <w:lang w:val="pt-PT"/>
        </w:rPr>
        <w:t xml:space="preserve"> [Consult. 2015-02-20] Dispon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pt-PT"/>
        </w:rPr>
        <w:t xml:space="preserve">vel em URL: http://congressomateria.fba.ul.pt/atas.htm </w:t>
      </w:r>
    </w:p>
    <w:p>
      <w:pPr>
        <w:pStyle w:val="Body"/>
        <w:ind w:firstLine="540"/>
      </w:pPr>
    </w:p>
    <w:p>
      <w:pPr>
        <w:pStyle w:val="Body"/>
        <w:ind w:firstLine="540"/>
      </w:pPr>
      <w:r/>
    </w:p>
    <w:sectPr>
      <w:headerReference w:type="default" r:id="rId6"/>
      <w:footerReference w:type="default" r:id="rId7"/>
      <w:pgSz w:w="11900" w:h="16840" w:orient="portrait"/>
      <w:pgMar w:top="1701" w:right="1134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Fonts w:ascii="Times New Roman" w:hAnsi="Times New Roman"/>
        <w:sz w:val="22"/>
        <w:szCs w:val="22"/>
        <w:rtl w:val="0"/>
      </w:rPr>
      <w:fldChar w:fldCharType="begin" w:fldLock="0"/>
    </w:r>
    <w:r>
      <w:rPr>
        <w:rFonts w:ascii="Times New Roman" w:hAnsi="Times New Roman"/>
        <w:sz w:val="22"/>
        <w:szCs w:val="22"/>
        <w:rtl w:val="0"/>
      </w:rPr>
      <w:instrText xml:space="preserve"> PAGE </w:instrText>
    </w:r>
    <w:r>
      <w:rPr>
        <w:rFonts w:ascii="Times New Roman" w:hAnsi="Times New Roman"/>
        <w:sz w:val="22"/>
        <w:szCs w:val="22"/>
        <w:rtl w:val="0"/>
      </w:rPr>
      <w:fldChar w:fldCharType="separate" w:fldLock="0"/>
    </w:r>
    <w:r>
      <w:rPr>
        <w:rFonts w:ascii="Times New Roman" w:hAnsi="Times New Roman"/>
        <w:sz w:val="22"/>
        <w:szCs w:val="22"/>
        <w:rtl w:val="0"/>
      </w:rPr>
      <w:t>2</w:t>
    </w:r>
    <w:r>
      <w:rPr>
        <w:rFonts w:ascii="Times New Roman" w:hAnsi="Times New Roman"/>
        <w:sz w:val="22"/>
        <w:szCs w:val="22"/>
        <w:rtl w:val="0"/>
      </w:rPr>
      <w:fldChar w:fldCharType="end" w:fldLock="0"/>
    </w:r>
    <w:r>
      <w:rPr>
        <w:rFonts w:ascii="Times New Roman" w:hAnsi="Times New Roman"/>
        <w:sz w:val="22"/>
        <w:szCs w:val="22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